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06" w:rsidRDefault="008E4806" w:rsidP="00646A17">
      <w:pPr>
        <w:jc w:val="both"/>
      </w:pPr>
      <w:r w:rsidRPr="00AD03B6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 wp14:anchorId="348125A0" wp14:editId="598D45C9">
            <wp:simplePos x="0" y="0"/>
            <wp:positionH relativeFrom="column">
              <wp:posOffset>-1007773</wp:posOffset>
            </wp:positionH>
            <wp:positionV relativeFrom="paragraph">
              <wp:posOffset>-695459</wp:posOffset>
            </wp:positionV>
            <wp:extent cx="1938271" cy="1179638"/>
            <wp:effectExtent l="0" t="0" r="5080" b="1905"/>
            <wp:wrapNone/>
            <wp:docPr id="6" name="صورة 6" descr="C:\Users\ealmargny\Desktop\شعار المؤس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margny\Desktop\شعار المؤسس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89" cy="118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900D1" wp14:editId="49E14B02">
                <wp:simplePos x="0" y="0"/>
                <wp:positionH relativeFrom="margin">
                  <wp:align>center</wp:align>
                </wp:positionH>
                <wp:positionV relativeFrom="paragraph">
                  <wp:posOffset>-708338</wp:posOffset>
                </wp:positionV>
                <wp:extent cx="3337269" cy="1146810"/>
                <wp:effectExtent l="0" t="0" r="15875" b="1524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269" cy="1146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806" w:rsidRPr="00B853CB" w:rsidRDefault="008E4806" w:rsidP="008E4806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الشركة الوطنية لحفر وصيانة ابار النفط</w:t>
                            </w:r>
                          </w:p>
                          <w:p w:rsidR="008E4806" w:rsidRPr="00B853CB" w:rsidRDefault="008E4806" w:rsidP="008E4806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 xml:space="preserve">National Oil Well Drilling and Work </w:t>
                            </w:r>
                            <w:r w:rsidR="008A4F83" w:rsidRPr="00B853CB">
                              <w:rPr>
                                <w:rFonts w:cs="AF_Taif Normal"/>
                                <w:lang w:bidi="ar-LY"/>
                              </w:rPr>
                              <w:t>over Company</w:t>
                            </w:r>
                          </w:p>
                          <w:p w:rsidR="008E4806" w:rsidRPr="00B853CB" w:rsidRDefault="008E4806" w:rsidP="008E4806">
                            <w:pPr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احدى شركات المؤسسة الوطنية للنفط</w:t>
                            </w:r>
                          </w:p>
                          <w:p w:rsidR="008E4806" w:rsidRPr="00B864C0" w:rsidRDefault="008E4806" w:rsidP="008E4806">
                            <w:pPr>
                              <w:jc w:val="center"/>
                              <w:rPr>
                                <w:rFonts w:cs="AF_Taif Normal"/>
                                <w:sz w:val="28"/>
                                <w:szCs w:val="28"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>An N.O.C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43900D1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0;margin-top:-55.75pt;width:262.8pt;height:90.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" filled="f" strokeweight=".5pt">
                <v:textbox>
                  <w:txbxContent>
                    <w:p w:rsidR="008E4806" w:rsidRPr="00B853CB" w:rsidRDefault="008E4806" w:rsidP="008E4806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الشركة الوطنية لحفر وصيانة ابار النفط</w:t>
                      </w:r>
                    </w:p>
                    <w:p w:rsidR="008E4806" w:rsidRPr="00B853CB" w:rsidRDefault="008E4806" w:rsidP="008E4806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 xml:space="preserve">National Oil Well Drilling and Work </w:t>
                      </w:r>
                      <w:bookmarkStart w:id="1" w:name="_GoBack"/>
                      <w:bookmarkEnd w:id="1"/>
                      <w:r w:rsidR="008A4F83" w:rsidRPr="00B853CB">
                        <w:rPr>
                          <w:rFonts w:cs="AF_Taif Normal"/>
                          <w:lang w:bidi="ar-LY"/>
                        </w:rPr>
                        <w:t>over Company</w:t>
                      </w:r>
                    </w:p>
                    <w:p w:rsidR="008E4806" w:rsidRPr="00B853CB" w:rsidRDefault="008E4806" w:rsidP="008E4806">
                      <w:pPr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احدى شركات المؤسسة الوطنية للنفط</w:t>
                      </w:r>
                    </w:p>
                    <w:p w:rsidR="008E4806" w:rsidRPr="00B864C0" w:rsidRDefault="008E4806" w:rsidP="008E4806">
                      <w:pPr>
                        <w:jc w:val="center"/>
                        <w:rPr>
                          <w:rFonts w:cs="AF_Taif Normal"/>
                          <w:sz w:val="28"/>
                          <w:szCs w:val="28"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>An N.O.C Company.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427C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45AC7C34" wp14:editId="0525C018">
            <wp:simplePos x="0" y="0"/>
            <wp:positionH relativeFrom="column">
              <wp:posOffset>4291706</wp:posOffset>
            </wp:positionH>
            <wp:positionV relativeFrom="paragraph">
              <wp:posOffset>-772732</wp:posOffset>
            </wp:positionV>
            <wp:extent cx="1831340" cy="1255690"/>
            <wp:effectExtent l="0" t="0" r="0" b="1905"/>
            <wp:wrapNone/>
            <wp:docPr id="4" name="صورة 4" descr="C:\Users\ealmargny\Desktop\شعار الشرك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lmargny\Desktop\شعار الشرك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25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806" w:rsidRDefault="008E4806" w:rsidP="00646A17">
      <w:pPr>
        <w:jc w:val="both"/>
        <w:rPr>
          <w:rtl/>
          <w:lang w:bidi="ar-LY"/>
        </w:rPr>
      </w:pPr>
    </w:p>
    <w:p w:rsidR="008E4806" w:rsidRPr="008E4806" w:rsidRDefault="008E4806" w:rsidP="00646A17">
      <w:pPr>
        <w:jc w:val="both"/>
        <w:rPr>
          <w:lang w:bidi="ar-LY"/>
        </w:rPr>
      </w:pPr>
    </w:p>
    <w:p w:rsidR="008E4806" w:rsidRPr="00B4601B" w:rsidRDefault="008E4806" w:rsidP="00B57536">
      <w:pPr>
        <w:ind w:left="4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</w:pPr>
      <w:r w:rsidRPr="00B4601B">
        <w:rPr>
          <w:rFonts w:asciiTheme="majorBidi" w:hAnsiTheme="majorBidi" w:cstheme="majorBidi"/>
          <w:b/>
          <w:bCs/>
          <w:sz w:val="24"/>
          <w:szCs w:val="24"/>
          <w:lang w:bidi="ar-LY"/>
        </w:rPr>
        <w:t>NWD-TC-202</w:t>
      </w:r>
      <w:r w:rsidR="0002479A">
        <w:rPr>
          <w:rFonts w:asciiTheme="majorBidi" w:hAnsiTheme="majorBidi" w:cstheme="majorBidi"/>
          <w:b/>
          <w:bCs/>
          <w:sz w:val="24"/>
          <w:szCs w:val="24"/>
          <w:lang w:bidi="ar-LY"/>
        </w:rPr>
        <w:t>2</w:t>
      </w:r>
      <w:r w:rsidRPr="00B4601B">
        <w:rPr>
          <w:rFonts w:asciiTheme="majorBidi" w:hAnsiTheme="majorBidi" w:cstheme="majorBidi"/>
          <w:b/>
          <w:bCs/>
          <w:sz w:val="24"/>
          <w:szCs w:val="24"/>
          <w:lang w:bidi="ar-LY"/>
        </w:rPr>
        <w:t>-L-50-</w:t>
      </w:r>
      <w:r w:rsidR="00B57536">
        <w:rPr>
          <w:rFonts w:asciiTheme="majorBidi" w:hAnsiTheme="majorBidi" w:cstheme="majorBidi"/>
          <w:b/>
          <w:bCs/>
          <w:sz w:val="24"/>
          <w:szCs w:val="24"/>
          <w:lang w:bidi="ar-LY"/>
        </w:rPr>
        <w:t>07</w:t>
      </w:r>
      <w:r w:rsidRPr="00B4601B"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 xml:space="preserve"> </w:t>
      </w:r>
      <w:r w:rsidR="00C77CC8" w:rsidRPr="00B4601B">
        <w:rPr>
          <w:rFonts w:asciiTheme="majorBidi" w:hAnsiTheme="majorBidi" w:cstheme="majorBidi"/>
          <w:b/>
          <w:bCs/>
          <w:sz w:val="24"/>
          <w:szCs w:val="24"/>
          <w:lang w:bidi="ar-LY"/>
        </w:rPr>
        <w:t>Ref:</w:t>
      </w:r>
      <w:r w:rsidRPr="00B4601B"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 xml:space="preserve"> </w:t>
      </w:r>
      <w:proofErr w:type="gramStart"/>
      <w:r w:rsidRPr="00B4601B">
        <w:rPr>
          <w:rFonts w:asciiTheme="majorBidi" w:hAnsiTheme="majorBidi" w:cstheme="majorBidi"/>
          <w:b/>
          <w:bCs/>
          <w:sz w:val="24"/>
          <w:szCs w:val="24"/>
          <w:lang w:bidi="ar-LY"/>
        </w:rPr>
        <w:t>Our</w:t>
      </w:r>
      <w:proofErr w:type="gramEnd"/>
    </w:p>
    <w:p w:rsidR="008E4806" w:rsidRDefault="008E4806" w:rsidP="00646A17">
      <w:pPr>
        <w:tabs>
          <w:tab w:val="left" w:pos="3530"/>
        </w:tabs>
        <w:jc w:val="both"/>
        <w:rPr>
          <w:rtl/>
        </w:rPr>
      </w:pPr>
    </w:p>
    <w:p w:rsidR="009F0342" w:rsidRDefault="009F0342" w:rsidP="00646A17">
      <w:pPr>
        <w:tabs>
          <w:tab w:val="left" w:pos="3530"/>
        </w:tabs>
        <w:jc w:val="both"/>
        <w:rPr>
          <w:rFonts w:hint="cs"/>
          <w:rtl/>
        </w:rPr>
      </w:pPr>
      <w:bookmarkStart w:id="0" w:name="_GoBack"/>
      <w:bookmarkEnd w:id="0"/>
    </w:p>
    <w:p w:rsidR="009F0342" w:rsidRDefault="009F0342" w:rsidP="00646A17">
      <w:pPr>
        <w:tabs>
          <w:tab w:val="left" w:pos="3530"/>
        </w:tabs>
        <w:jc w:val="both"/>
        <w:rPr>
          <w:rtl/>
          <w:lang w:bidi="ar-LY"/>
        </w:rPr>
      </w:pPr>
    </w:p>
    <w:p w:rsidR="009F0342" w:rsidRDefault="009F0342" w:rsidP="00646A17">
      <w:pPr>
        <w:tabs>
          <w:tab w:val="left" w:pos="3530"/>
        </w:tabs>
        <w:jc w:val="both"/>
      </w:pPr>
    </w:p>
    <w:tbl>
      <w:tblPr>
        <w:tblStyle w:val="a3"/>
        <w:tblpPr w:leftFromText="180" w:rightFromText="180" w:vertAnchor="text" w:horzAnchor="margin" w:tblpXSpec="center" w:tblpY="338"/>
        <w:bidiVisual/>
        <w:tblW w:w="99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F5EC7" w:rsidRPr="008E4806" w:rsidTr="000B524B">
        <w:trPr>
          <w:trHeight w:val="419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063" w:rsidRPr="000F5EC7" w:rsidRDefault="009F0342" w:rsidP="000B524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LY"/>
              </w:rPr>
              <w:t xml:space="preserve">الشروط العامة للعطـــــاء </w:t>
            </w:r>
          </w:p>
        </w:tc>
      </w:tr>
      <w:tr w:rsidR="000F5EC7" w:rsidRPr="008E4806" w:rsidTr="000F5EC7">
        <w:trPr>
          <w:trHeight w:val="7228"/>
        </w:trPr>
        <w:tc>
          <w:tcPr>
            <w:tcW w:w="9918" w:type="dxa"/>
            <w:tcBorders>
              <w:top w:val="single" w:sz="4" w:space="0" w:color="auto"/>
            </w:tcBorders>
          </w:tcPr>
          <w:p w:rsidR="000F5EC7" w:rsidRDefault="000F5EC7" w:rsidP="000F5EC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LY"/>
              </w:rPr>
            </w:pPr>
          </w:p>
          <w:p w:rsidR="00CD1E31" w:rsidRPr="000F5EC7" w:rsidRDefault="00CD1E31" w:rsidP="000F5EC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</w:pPr>
          </w:p>
          <w:p w:rsidR="000F5EC7" w:rsidRPr="009F0342" w:rsidRDefault="000F5EC7" w:rsidP="00B4601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يجب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على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الجهة المتقدمة ل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لعطاء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مراعاة اللائحة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الموحدة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 للتعاقد ب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الشركات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النفطية 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التابعة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 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للمؤسسة الوطنية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للنفط</w:t>
            </w:r>
            <w:r w:rsidRPr="009F0342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</w:rPr>
              <w:t>ولائحة الأشغال العامة عند تنفيذ المشروع.</w:t>
            </w:r>
          </w:p>
          <w:p w:rsidR="000F5EC7" w:rsidRPr="009F0342" w:rsidRDefault="000F5EC7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يجب على الجهة المتقدمة للعطاء أن تكون مخولة قانونا لمزاولة هذا النشاط.</w:t>
            </w:r>
          </w:p>
          <w:p w:rsidR="000F5EC7" w:rsidRPr="009F0342" w:rsidRDefault="000F5EC7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على المتقدمين للعطاء والغير المسجلين بسجل الموردين بالشركة تقديم الملف القانوني الخاص بالجهة المتقدمة.</w:t>
            </w:r>
          </w:p>
          <w:p w:rsidR="000F5EC7" w:rsidRPr="009F0342" w:rsidRDefault="000F5EC7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صلاحية العرض المالي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30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يوم من تاريخ انتهاء مدة الإعلان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.</w:t>
            </w:r>
          </w:p>
          <w:p w:rsidR="000F5EC7" w:rsidRPr="009F0342" w:rsidRDefault="000F5EC7" w:rsidP="00B4601B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تقدم العروض المالية بالدينار الليبي ويمكن تقديمها بأي عملة أخرى وسيتم معادلتها بالدينار الليبي حسب سعر الصرف بنشرة مصرف ليبيا المركزي عند فتح المظاريف التجارية المسعرة.</w:t>
            </w:r>
          </w:p>
          <w:p w:rsidR="000F5EC7" w:rsidRPr="009F0342" w:rsidRDefault="000F5EC7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يتم أستلام كراسة المواصفات من أمين سر لجنة العطاءات أو عبر طريق موقع الشركة الإلكتروني.</w:t>
            </w:r>
          </w:p>
          <w:p w:rsidR="00A45B61" w:rsidRPr="009F0342" w:rsidRDefault="00A45B61" w:rsidP="00A45B6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يراعي عند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مراسلة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لجنة العطاءات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ب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البريد الإلكتروني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 أن يتم مراسلتها عن طريق البريد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الالكتروني 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الرسمي للج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هة 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المتقدمة و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كتابة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رقم العطاء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.</w:t>
            </w:r>
          </w:p>
          <w:p w:rsidR="00A45B61" w:rsidRPr="009F0342" w:rsidRDefault="00A45B61" w:rsidP="009F034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تقديم تأمين ابتدائي بقيمة </w:t>
            </w:r>
            <w:r w:rsidR="0067378A"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1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,</w:t>
            </w:r>
            <w:r w:rsidR="0067378A"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7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50.000</w:t>
            </w:r>
            <w:r w:rsidRPr="009F0342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د. </w:t>
            </w:r>
            <w:r w:rsidRPr="009F0342">
              <w:rPr>
                <w:rFonts w:asciiTheme="majorBidi" w:hAnsiTheme="majorBidi" w:cstheme="majorBidi" w:hint="eastAsia"/>
                <w:sz w:val="24"/>
                <w:szCs w:val="24"/>
                <w:rtl/>
                <w:lang w:bidi="ar-LY"/>
              </w:rPr>
              <w:t>ل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 </w:t>
            </w:r>
            <w:r w:rsidR="003F031B"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(</w:t>
            </w:r>
            <w:r w:rsidR="003F031B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ألف وسبعمائة وخمسون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دينار ليبي) مرفق بالعرض المالي الغير</w:t>
            </w:r>
            <w:r w:rsidRPr="009F0342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المسعر في شكل صك </w:t>
            </w:r>
            <w:r w:rsidR="009F0342"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مصدق.</w:t>
            </w:r>
          </w:p>
          <w:p w:rsidR="000F5EC7" w:rsidRPr="009F0342" w:rsidRDefault="000F5EC7" w:rsidP="005E348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9F0342">
              <w:rPr>
                <w:rFonts w:asciiTheme="majorBidi" w:hAnsiTheme="majorBidi" w:cs="Times New Roman" w:hint="cs"/>
                <w:sz w:val="24"/>
                <w:szCs w:val="24"/>
                <w:rtl/>
                <w:lang w:bidi="ar-LY"/>
              </w:rPr>
              <w:t xml:space="preserve">يتم 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تقد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ي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م العروض الفنية والعروض المالية الغير المسعرة </w:t>
            </w:r>
            <w:r w:rsidR="00A45B61"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والعروض المالية المسعرة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 في أظرف مغلقة ومنفصلة ومختومة بالشمع الأحمر وكتاب</w:t>
            </w:r>
            <w:r w:rsidRPr="009F0342">
              <w:rPr>
                <w:rFonts w:asciiTheme="majorBidi" w:hAnsiTheme="majorBidi" w:cstheme="majorBidi" w:hint="eastAsia"/>
                <w:sz w:val="24"/>
                <w:szCs w:val="24"/>
                <w:rtl/>
                <w:lang w:bidi="ar-LY"/>
              </w:rPr>
              <w:t>ة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 رقم العطاء على المظاريف وتسلم العروض </w:t>
            </w:r>
            <w:r w:rsidR="00CC03C1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مع إيصال قيمة كراسة المواصفات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خلال ساعات الدوام الرسمي بمقر الشركة لمكتب لجنة العطاءات أو 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على 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ال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بريد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 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الإلكترون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ي على النحو التال</w:t>
            </w:r>
            <w:r w:rsidRPr="009F0342">
              <w:rPr>
                <w:rFonts w:asciiTheme="majorBidi" w:hAnsiTheme="majorBidi" w:cstheme="majorBidi" w:hint="eastAsia"/>
                <w:sz w:val="24"/>
                <w:szCs w:val="24"/>
                <w:rtl/>
                <w:lang w:bidi="ar-LY"/>
              </w:rPr>
              <w:t>ي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: </w:t>
            </w:r>
          </w:p>
          <w:p w:rsidR="007B0063" w:rsidRPr="009F0342" w:rsidRDefault="007B0063" w:rsidP="005E348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9F0342">
              <w:rPr>
                <w:rFonts w:asciiTheme="majorBidi" w:hAnsiTheme="majorBidi" w:cs="Times New Roman"/>
                <w:sz w:val="24"/>
                <w:szCs w:val="24"/>
                <w:rtl/>
                <w:lang w:bidi="ar-LY"/>
              </w:rPr>
              <w:t>العروض الفنية وال</w:t>
            </w:r>
            <w:r w:rsidRPr="009F0342">
              <w:rPr>
                <w:rFonts w:asciiTheme="majorBidi" w:hAnsiTheme="majorBidi" w:cs="Times New Roman" w:hint="cs"/>
                <w:sz w:val="24"/>
                <w:szCs w:val="24"/>
                <w:rtl/>
                <w:lang w:bidi="ar-LY"/>
              </w:rPr>
              <w:t>تجارية</w:t>
            </w:r>
            <w:r w:rsidRPr="009F0342">
              <w:rPr>
                <w:rFonts w:asciiTheme="majorBidi" w:hAnsiTheme="majorBidi" w:cs="Times New Roman"/>
                <w:sz w:val="24"/>
                <w:szCs w:val="24"/>
                <w:rtl/>
                <w:lang w:bidi="ar-LY"/>
              </w:rPr>
              <w:t xml:space="preserve"> الغير المسعرة </w:t>
            </w:r>
            <w:r w:rsidRPr="009F0342">
              <w:rPr>
                <w:rFonts w:asciiTheme="majorBidi" w:hAnsiTheme="majorBidi" w:cs="Times New Roman" w:hint="cs"/>
                <w:sz w:val="24"/>
                <w:szCs w:val="24"/>
                <w:rtl/>
                <w:lang w:bidi="ar-LY"/>
              </w:rPr>
              <w:t xml:space="preserve">ترسل على </w:t>
            </w:r>
            <w:r w:rsidRPr="009F0342">
              <w:rPr>
                <w:rFonts w:asciiTheme="majorBidi" w:hAnsiTheme="majorBidi" w:cs="Times New Roman" w:hint="cs"/>
                <w:sz w:val="24"/>
                <w:szCs w:val="24"/>
                <w:lang w:bidi="ar-LY"/>
              </w:rPr>
              <w:t>logistic.tc@nwd.ly</w:t>
            </w:r>
          </w:p>
          <w:p w:rsidR="000F5EC7" w:rsidRPr="009F0342" w:rsidRDefault="007B0063" w:rsidP="005E348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ا</w:t>
            </w:r>
            <w:r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لعروض ال</w:t>
            </w:r>
            <w:r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تجارية المسعرة</w:t>
            </w:r>
            <w:r w:rsidR="000F5EC7" w:rsidRPr="009F034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 ترسل علي</w:t>
            </w:r>
            <w:r w:rsidR="000F5EC7" w:rsidRPr="009F0342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</w:t>
            </w:r>
            <w:hyperlink r:id="rId7" w:history="1">
              <w:r w:rsidR="000F5EC7" w:rsidRPr="009F0342">
                <w:rPr>
                  <w:rFonts w:asciiTheme="majorBidi" w:hAnsiTheme="majorBidi" w:cstheme="majorBidi"/>
                  <w:sz w:val="24"/>
                  <w:szCs w:val="24"/>
                  <w:lang w:bidi="ar-LY"/>
                </w:rPr>
                <w:t>logistic2.tc@nwd.ly</w:t>
              </w:r>
            </w:hyperlink>
          </w:p>
          <w:p w:rsidR="000F5EC7" w:rsidRPr="008E4806" w:rsidRDefault="000F5EC7" w:rsidP="009F0342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LY"/>
              </w:rPr>
            </w:pPr>
          </w:p>
        </w:tc>
      </w:tr>
    </w:tbl>
    <w:p w:rsidR="00695D25" w:rsidRPr="008E4806" w:rsidRDefault="008E4806" w:rsidP="00646A17">
      <w:pPr>
        <w:tabs>
          <w:tab w:val="left" w:pos="498"/>
        </w:tabs>
        <w:jc w:val="both"/>
        <w:rPr>
          <w:rtl/>
        </w:rPr>
      </w:pPr>
      <w:r>
        <w:rPr>
          <w:rtl/>
        </w:rPr>
        <w:tab/>
      </w:r>
    </w:p>
    <w:sectPr w:rsidR="00695D25" w:rsidRPr="008E4806" w:rsidSect="00F55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FE2"/>
    <w:multiLevelType w:val="hybridMultilevel"/>
    <w:tmpl w:val="95B4B3EC"/>
    <w:lvl w:ilvl="0" w:tplc="CF8EFA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514D1"/>
    <w:multiLevelType w:val="hybridMultilevel"/>
    <w:tmpl w:val="8084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29ED"/>
    <w:multiLevelType w:val="hybridMultilevel"/>
    <w:tmpl w:val="39EC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12E"/>
    <w:multiLevelType w:val="hybridMultilevel"/>
    <w:tmpl w:val="7186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269E"/>
    <w:multiLevelType w:val="hybridMultilevel"/>
    <w:tmpl w:val="6F081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6E69ED"/>
    <w:multiLevelType w:val="hybridMultilevel"/>
    <w:tmpl w:val="F00A600A"/>
    <w:lvl w:ilvl="0" w:tplc="04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6" w15:restartNumberingAfterBreak="0">
    <w:nsid w:val="2AF6502C"/>
    <w:multiLevelType w:val="hybridMultilevel"/>
    <w:tmpl w:val="31342192"/>
    <w:lvl w:ilvl="0" w:tplc="5014611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17C3A"/>
    <w:multiLevelType w:val="hybridMultilevel"/>
    <w:tmpl w:val="42BC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40A67"/>
    <w:multiLevelType w:val="hybridMultilevel"/>
    <w:tmpl w:val="8E4A5208"/>
    <w:lvl w:ilvl="0" w:tplc="EB78FE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5D0AEC"/>
    <w:multiLevelType w:val="hybridMultilevel"/>
    <w:tmpl w:val="AB9622C4"/>
    <w:lvl w:ilvl="0" w:tplc="800CAC70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0" w15:restartNumberingAfterBreak="0">
    <w:nsid w:val="5AF53030"/>
    <w:multiLevelType w:val="hybridMultilevel"/>
    <w:tmpl w:val="DD58F982"/>
    <w:lvl w:ilvl="0" w:tplc="0F8CD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2094F"/>
    <w:multiLevelType w:val="hybridMultilevel"/>
    <w:tmpl w:val="CE16D41E"/>
    <w:lvl w:ilvl="0" w:tplc="C988DC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5269E"/>
    <w:multiLevelType w:val="hybridMultilevel"/>
    <w:tmpl w:val="7A32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86DAE"/>
    <w:multiLevelType w:val="hybridMultilevel"/>
    <w:tmpl w:val="123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05268"/>
    <w:multiLevelType w:val="hybridMultilevel"/>
    <w:tmpl w:val="27B4ACE4"/>
    <w:lvl w:ilvl="0" w:tplc="040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5" w15:restartNumberingAfterBreak="0">
    <w:nsid w:val="7A4B53D3"/>
    <w:multiLevelType w:val="hybridMultilevel"/>
    <w:tmpl w:val="A29E13C4"/>
    <w:lvl w:ilvl="0" w:tplc="BCC8EBAE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  <w:lang w:bidi="ar-LY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 w15:restartNumberingAfterBreak="0">
    <w:nsid w:val="7AE3248C"/>
    <w:multiLevelType w:val="hybridMultilevel"/>
    <w:tmpl w:val="1E76FB50"/>
    <w:lvl w:ilvl="0" w:tplc="709EEE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15477"/>
    <w:multiLevelType w:val="hybridMultilevel"/>
    <w:tmpl w:val="4A32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16"/>
  </w:num>
  <w:num w:numId="9">
    <w:abstractNumId w:val="0"/>
  </w:num>
  <w:num w:numId="10">
    <w:abstractNumId w:val="10"/>
  </w:num>
  <w:num w:numId="11">
    <w:abstractNumId w:val="1"/>
  </w:num>
  <w:num w:numId="12">
    <w:abstractNumId w:val="17"/>
  </w:num>
  <w:num w:numId="13">
    <w:abstractNumId w:val="13"/>
  </w:num>
  <w:num w:numId="14">
    <w:abstractNumId w:val="4"/>
  </w:num>
  <w:num w:numId="15">
    <w:abstractNumId w:val="3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DF"/>
    <w:rsid w:val="0002479A"/>
    <w:rsid w:val="000B524B"/>
    <w:rsid w:val="000B60B1"/>
    <w:rsid w:val="000F5EC7"/>
    <w:rsid w:val="00103361"/>
    <w:rsid w:val="00122443"/>
    <w:rsid w:val="001A107D"/>
    <w:rsid w:val="002A0041"/>
    <w:rsid w:val="003253DF"/>
    <w:rsid w:val="00395CC4"/>
    <w:rsid w:val="003F031B"/>
    <w:rsid w:val="00571FC2"/>
    <w:rsid w:val="00592266"/>
    <w:rsid w:val="005C2CF1"/>
    <w:rsid w:val="005E348B"/>
    <w:rsid w:val="005F2F08"/>
    <w:rsid w:val="00646A17"/>
    <w:rsid w:val="0067378A"/>
    <w:rsid w:val="00695D25"/>
    <w:rsid w:val="007B0063"/>
    <w:rsid w:val="007C5C86"/>
    <w:rsid w:val="008A4F83"/>
    <w:rsid w:val="008D3AE0"/>
    <w:rsid w:val="008E4806"/>
    <w:rsid w:val="009F0342"/>
    <w:rsid w:val="00A02BE4"/>
    <w:rsid w:val="00A45B61"/>
    <w:rsid w:val="00A52FFA"/>
    <w:rsid w:val="00A57069"/>
    <w:rsid w:val="00B4601B"/>
    <w:rsid w:val="00B57536"/>
    <w:rsid w:val="00BC1BAD"/>
    <w:rsid w:val="00C32F7F"/>
    <w:rsid w:val="00C77CC8"/>
    <w:rsid w:val="00CC03C1"/>
    <w:rsid w:val="00CD1E31"/>
    <w:rsid w:val="00D92483"/>
    <w:rsid w:val="00E76B4F"/>
    <w:rsid w:val="00F368ED"/>
    <w:rsid w:val="00F55C94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EB98C7"/>
  <w15:chartTrackingRefBased/>
  <w15:docId w15:val="{DDC3FE5F-7449-41AD-986A-760B89B7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0B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46A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646A1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5E3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gistic2.tc@nwd.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 Ghita</dc:creator>
  <cp:keywords/>
  <dc:description/>
  <cp:lastModifiedBy>TENDER</cp:lastModifiedBy>
  <cp:revision>28</cp:revision>
  <cp:lastPrinted>2021-11-17T10:23:00Z</cp:lastPrinted>
  <dcterms:created xsi:type="dcterms:W3CDTF">2021-11-04T14:22:00Z</dcterms:created>
  <dcterms:modified xsi:type="dcterms:W3CDTF">2022-07-23T09:30:00Z</dcterms:modified>
</cp:coreProperties>
</file>